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DD539B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4E7452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REAL ESTATE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Estate</w:t>
            </w: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65.4%</w:t>
            </w:r>
          </w:p>
        </w:tc>
        <w:tc>
          <w:tcPr>
            <w:tcW w:w="99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67.3%</w:t>
            </w:r>
          </w:p>
        </w:tc>
        <w:tc>
          <w:tcPr>
            <w:tcW w:w="99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81.3%</w:t>
            </w:r>
          </w:p>
        </w:tc>
        <w:tc>
          <w:tcPr>
            <w:tcW w:w="99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89.7%</w:t>
            </w:r>
          </w:p>
        </w:tc>
        <w:tc>
          <w:tcPr>
            <w:tcW w:w="99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+18.2%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+17.1%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+0.9%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+23.7%</w:t>
            </w:r>
          </w:p>
        </w:tc>
        <w:tc>
          <w:tcPr>
            <w:tcW w:w="108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+24.3%</w:t>
            </w:r>
          </w:p>
        </w:tc>
        <w:tc>
          <w:tcPr>
            <w:tcW w:w="99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-6.4%</w:t>
            </w:r>
          </w:p>
        </w:tc>
        <w:tc>
          <w:tcPr>
            <w:tcW w:w="1170" w:type="dxa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+16.7%</w:t>
            </w:r>
          </w:p>
        </w:tc>
      </w:tr>
      <w:tr w:rsidR="004E7452" w:rsidRPr="002F289A" w:rsidTr="00EF227A">
        <w:trPr>
          <w:trHeight w:val="288"/>
        </w:trPr>
        <w:tc>
          <w:tcPr>
            <w:tcW w:w="153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17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108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99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4E7452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E7452" w:rsidRPr="00A675A1" w:rsidRDefault="004E7452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13.3%</w:t>
            </w:r>
          </w:p>
        </w:tc>
      </w:tr>
      <w:tr w:rsidR="004E7452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E7452" w:rsidRPr="00A675A1" w:rsidRDefault="004E7452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26.7%</w:t>
            </w:r>
          </w:p>
        </w:tc>
      </w:tr>
      <w:tr w:rsidR="004E7452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E7452" w:rsidRPr="00A675A1" w:rsidRDefault="004E7452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+13.4%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+13.4%</w:t>
            </w:r>
          </w:p>
        </w:tc>
      </w:tr>
      <w:tr w:rsidR="004E7452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4E7452" w:rsidRPr="00A675A1" w:rsidRDefault="004E7452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7452" w:rsidRDefault="004E7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772030" w:rsidP="00423DF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Real Estate</w:t>
            </w: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Pr="00772030" w:rsidRDefault="004E7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030">
              <w:rPr>
                <w:rFonts w:ascii="Arial" w:hAnsi="Arial" w:cs="Arial"/>
                <w:color w:val="000000"/>
                <w:sz w:val="22"/>
                <w:szCs w:val="22"/>
              </w:rPr>
              <w:t>Real Estate  AS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Pr="00772030" w:rsidRDefault="004E7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030">
              <w:rPr>
                <w:rFonts w:ascii="Arial" w:hAnsi="Arial" w:cs="Arial"/>
                <w:color w:val="000000"/>
                <w:sz w:val="22"/>
                <w:szCs w:val="22"/>
              </w:rPr>
              <w:t>Real Estate  Certificate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Pr="00772030" w:rsidRDefault="004E7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030">
              <w:rPr>
                <w:rFonts w:ascii="Arial" w:hAnsi="Arial" w:cs="Arial"/>
                <w:color w:val="000000"/>
                <w:sz w:val="22"/>
                <w:szCs w:val="22"/>
              </w:rPr>
              <w:t>Real Estate Appraisal AS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Pr="00772030" w:rsidRDefault="004E7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2030">
              <w:rPr>
                <w:rFonts w:ascii="Arial" w:hAnsi="Arial" w:cs="Arial"/>
                <w:color w:val="000000"/>
                <w:sz w:val="22"/>
                <w:szCs w:val="22"/>
              </w:rPr>
              <w:t>Real Estate Appraisal Certificate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Pr="00772030" w:rsidRDefault="004E7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E7452" w:rsidRPr="00AD7A98" w:rsidTr="00242D5F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vAlign w:val="bottom"/>
          </w:tcPr>
          <w:p w:rsidR="004E7452" w:rsidRDefault="004E74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DD539B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7816F2">
                    <w:rPr>
                      <w:rFonts w:ascii="Arial" w:hAnsi="Arial" w:cs="Arial"/>
                      <w:b/>
                      <w:sz w:val="32"/>
                      <w:szCs w:val="32"/>
                    </w:rPr>
                    <w:t>REST-</w:t>
                  </w:r>
                  <w:bookmarkStart w:id="0" w:name="_GoBack"/>
                  <w:bookmarkEnd w:id="0"/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DD539B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9B" w:rsidRDefault="00DD539B">
      <w:r>
        <w:separator/>
      </w:r>
    </w:p>
  </w:endnote>
  <w:endnote w:type="continuationSeparator" w:id="0">
    <w:p w:rsidR="00DD539B" w:rsidRDefault="00DD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6F2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9B" w:rsidRDefault="00DD539B">
      <w:r>
        <w:separator/>
      </w:r>
    </w:p>
  </w:footnote>
  <w:footnote w:type="continuationSeparator" w:id="0">
    <w:p w:rsidR="00DD539B" w:rsidRDefault="00DD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452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2030"/>
    <w:rsid w:val="00775218"/>
    <w:rsid w:val="007816F2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D539B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E412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B031F"/>
    <w:rsid w:val="001D5CE0"/>
    <w:rsid w:val="002929BD"/>
    <w:rsid w:val="005174F4"/>
    <w:rsid w:val="005A1665"/>
    <w:rsid w:val="0060174A"/>
    <w:rsid w:val="00644DB3"/>
    <w:rsid w:val="00755443"/>
    <w:rsid w:val="00854C56"/>
    <w:rsid w:val="009B4C7F"/>
    <w:rsid w:val="00A67F46"/>
    <w:rsid w:val="00B01C4D"/>
    <w:rsid w:val="00B70358"/>
    <w:rsid w:val="00D306DA"/>
    <w:rsid w:val="00D32521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CE63-DC55-47EB-BDF0-32D17C92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4</cp:revision>
  <cp:lastPrinted>2012-09-14T16:51:00Z</cp:lastPrinted>
  <dcterms:created xsi:type="dcterms:W3CDTF">2012-09-22T22:12:00Z</dcterms:created>
  <dcterms:modified xsi:type="dcterms:W3CDTF">2012-09-25T15:31:00Z</dcterms:modified>
</cp:coreProperties>
</file>